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80" w:lineRule="atLeast"/>
        <w:ind w:left="0" w:right="0"/>
        <w:jc w:val="center"/>
        <w:rPr>
          <w:color w:val="333333"/>
          <w:sz w:val="33"/>
          <w:szCs w:val="33"/>
        </w:rPr>
      </w:pPr>
      <w:bookmarkStart w:id="0" w:name="_GoBack"/>
      <w:r>
        <w:rPr>
          <w:b w:val="0"/>
          <w:i w:val="0"/>
          <w:caps w:val="0"/>
          <w:color w:val="333333"/>
          <w:spacing w:val="0"/>
          <w:sz w:val="33"/>
          <w:szCs w:val="33"/>
          <w:bdr w:val="none" w:color="auto" w:sz="0" w:space="0"/>
          <w:shd w:val="clear" w:fill="FFFFFF"/>
        </w:rPr>
        <w:t>关于印发《人力资源服务机构“百日千万网络招聘专项行动”实施方案》的通知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center"/>
      </w:pPr>
      <w:r>
        <w:rPr>
          <w:rFonts w:hint="eastAsia" w:ascii="微软雅黑" w:hAnsi="微软雅黑" w:eastAsia="微软雅黑" w:cs="微软雅黑"/>
          <w:i w:val="0"/>
          <w:caps w:val="0"/>
          <w:color w:val="404040"/>
          <w:spacing w:val="0"/>
          <w:sz w:val="19"/>
          <w:szCs w:val="19"/>
          <w:bdr w:val="none" w:color="auto" w:sz="0" w:space="0"/>
          <w:shd w:val="clear" w:fill="FFFFFF"/>
        </w:rPr>
        <w:t>京人社市场字〔2020〕43号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pPr>
      <w:r>
        <w:rPr>
          <w:rFonts w:hint="eastAsia" w:ascii="微软雅黑" w:hAnsi="微软雅黑" w:eastAsia="微软雅黑" w:cs="微软雅黑"/>
          <w:i w:val="0"/>
          <w:caps w:val="0"/>
          <w:color w:val="404040"/>
          <w:spacing w:val="0"/>
          <w:sz w:val="19"/>
          <w:szCs w:val="19"/>
          <w:bdr w:val="none" w:color="auto" w:sz="0" w:space="0"/>
          <w:shd w:val="clear" w:fill="FFFFFF"/>
        </w:rPr>
        <w:t>各区人力资源和社会保障局，北京经济技术开发区社会事业局：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现将《人力资源服务机构“百日千万网络招聘专项行动”实施方案》印发给你们，请结合本区实际，认真抓好贯彻落实。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right"/>
      </w:pPr>
      <w:r>
        <w:rPr>
          <w:rFonts w:hint="eastAsia" w:ascii="微软雅黑" w:hAnsi="微软雅黑" w:eastAsia="微软雅黑" w:cs="微软雅黑"/>
          <w:i w:val="0"/>
          <w:caps w:val="0"/>
          <w:color w:val="404040"/>
          <w:spacing w:val="0"/>
          <w:sz w:val="19"/>
          <w:szCs w:val="19"/>
          <w:bdr w:val="none" w:color="auto" w:sz="0" w:space="0"/>
          <w:shd w:val="clear" w:fill="FFFFFF"/>
        </w:rPr>
        <w:t>北京市人力资源和社会保障局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right"/>
      </w:pPr>
      <w:r>
        <w:rPr>
          <w:rFonts w:hint="eastAsia" w:ascii="微软雅黑" w:hAnsi="微软雅黑" w:eastAsia="微软雅黑" w:cs="微软雅黑"/>
          <w:i w:val="0"/>
          <w:caps w:val="0"/>
          <w:color w:val="404040"/>
          <w:spacing w:val="0"/>
          <w:sz w:val="19"/>
          <w:szCs w:val="19"/>
          <w:bdr w:val="none" w:color="auto" w:sz="0" w:space="0"/>
          <w:shd w:val="clear" w:fill="FFFFFF"/>
        </w:rPr>
        <w:t>2020年4月5日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center"/>
      </w:pPr>
      <w:r>
        <w:rPr>
          <w:rFonts w:hint="eastAsia" w:ascii="微软雅黑" w:hAnsi="微软雅黑" w:eastAsia="微软雅黑" w:cs="微软雅黑"/>
          <w:i w:val="0"/>
          <w:caps w:val="0"/>
          <w:color w:val="404040"/>
          <w:spacing w:val="0"/>
          <w:sz w:val="19"/>
          <w:szCs w:val="19"/>
          <w:bdr w:val="none" w:color="auto" w:sz="0" w:space="0"/>
          <w:shd w:val="clear" w:fill="FFFFFF"/>
        </w:rPr>
        <w:t>人力资源服务机构“百日千万网络招聘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center"/>
      </w:pPr>
      <w:r>
        <w:rPr>
          <w:rFonts w:hint="eastAsia" w:ascii="微软雅黑" w:hAnsi="微软雅黑" w:eastAsia="微软雅黑" w:cs="微软雅黑"/>
          <w:i w:val="0"/>
          <w:caps w:val="0"/>
          <w:color w:val="404040"/>
          <w:spacing w:val="0"/>
          <w:sz w:val="19"/>
          <w:szCs w:val="19"/>
          <w:bdr w:val="none" w:color="auto" w:sz="0" w:space="0"/>
          <w:shd w:val="clear" w:fill="FFFFFF"/>
        </w:rPr>
        <w:t>专项行动”实施方案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按照人力资源社会保障部《关于开展“百日千万网络招聘专项行动”的通知》《关于做好国家级人力资源服务产业园专场招聘活动有关工作的通知》要求，为充分发挥人力资源服务机构网上招聘服务专业优势，为企业复工复产提供支持保障，现制定我市人力资源服务机构“百日千万网络招聘专项行动”（以下简称“专项行动”）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一、活动目标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发挥公共人力资源服务机构示范引领作用，调动经营性人力资源服务机构积极主动性，聚焦疫情防控和复工复产需要，针对高校毕业生、农民工、城镇失业人员、贫困劳动力等重点群体，不断加大网上招聘力度，提升岗位归集强度，拓展人力资源服务深度，以更加务实的举措稳就业、惠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二、工作机制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市人力资源社会保障局建立工作机制，由人力资源市场处、市人才服务中心牵头，加强公共和经营性人力资源服务机构协同联动，将专项行动作为落实今年“唱享就业1234”工作任务的重要抓手，统筹做好活动安排、技术保障和宣传支持工作，确保专项行动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各区人力资源社会保障部门要统筹整合公共和经营性两类机构、两种资源，强化联动、形成合力，将专项行动与春风行动、高校毕业生专场招聘活动、民营企业招聘周等公共就业服务活动深度融合；要充分发挥就业工作领导小组统筹协调作用，主动对接经信、商务、住建、国资等部门，加快归集各类企业、政府投资项目、事业单位招聘需求，精心组织好专题特色活动；要以此次专项行动为契机，抓好本区人力资源市场建设，提升人力资源服务协同发展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三、具体任务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（一）建立一个线上平台。市人力资源社会保障局官网“就业超市”搭建了“职等你来 就业同行——百日千万网络招聘专项行动（北京专场）”线上服务平台，并为经营性人力资源服务机构设置“产业园专场”。各区人力资源社会保障部门要组织遴选本区优质诚信经营性人力资源服务机构参与活动，指导经营性人力资源服务机构将其网站或服务专区链接至全市统一线上平台。其中，朝阳区需组织不少于40家经营性人力资源服务机构参与，海淀区需组织不少于20家机构参与，东城区、西城区、丰台区需组织不少于10家机构参与，其他区可根据实际情况组织机构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二）组织“1+N”场专题活动。市人力资源社会保障局将联合中国北京人力资源服务产业园、北京人力资源服务行业协会、北京外企人力资源服务有限公司，于4月底举办“云·之慧人力资源管理与服务线上论坛”，全面推广此次专项行动。各区人力资源社会保障部门要紧密围绕本区工作实际和用人单位需求，设置活动主题，联合区就业工作领导小组相关部门、各类产业园或重点企业、重点项目，组织辖区人力资源服务机构开展分行业、分群体的特色专场活动。各区人力资源公共服务机构要在统一平台上至少发布并组织一场特色专场招聘。经营性人力资源服务机构要通过本机构网站或联合其他部门至少组织五场特色专场招聘、培训或其他人力资源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三）遴选一批优质“云招聘”服务产品。各区人力资源社会保障部门要鼓励支持人力资源服务机构提供从宣讲、简历筛选、测评、面试，到签订合同、入职、培训的全周期、全流程线上人力资源服务。各区可遴选一批优质的空中宣讲、直播招聘、简历智能匹配、视频面试、在线测评、在线培训、电子合同等“云招聘”服务产品，推广在公共服务中免费使用，并组织向用人单位进行推介。此次专项行动中，经营性人力资源服务机构应为求职者提供免费服务，并为用人单位提供免费或优惠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四）组织开展网络招聘信息审查。人力资源服务机构要按照《人力资源市场暂行条例》规定，建立健全信息发布审查和投诉处理机制，确保线上发布的信息真实、合法、有效；要配备必要的人员和技术保障，加强关键字筛查，确保招聘信息不得含有各类就业歧视性内容。各区人力资源社会保障部门要强化监督检查，畅通投诉举报渠道，切实维护人力资源市场良好秩序和劳动者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四、信息报送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各区人力资源社会保障部门要及时总结专项行动取得的成效、经验做法，以及涌现出的先进典型，加强信息报送。市人力资源社会保障局将及时推介有关经验做法，适时通报各区专项行动成果，并加强宣传表彰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（一）请各区人力资源社会保障部门于4月17日前报送参与专项行动的经营性人力资源服务机构名称、图标和网站专区链接（附件1）。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二）请各区人力资源社会保障部门将公共人力资源服务机构参与专项行动数据按要求报送至市职介中心，将经营性人力资源服务机构参与专项行动数据（附件2）分别于4月30日、5月15日、6月1日、6月15日、6月30日报送至市人力资源社会保障局人力资源市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（三）请各区人力资源社会保障部门于7月3日前报送公共和经营性人力资源服务机构参与此次活动的总结材料。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联系人及联系方式：人力资源市场处 张晓媚，63167766，zhangxiaomei@rsj.beijing.gov.cn。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附件：1.经营性人力资源服务机构信息表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2.活动情况统计表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center"/>
      </w:pPr>
      <w:r>
        <w:rPr>
          <w:rFonts w:hint="eastAsia" w:ascii="微软雅黑" w:hAnsi="微软雅黑" w:eastAsia="微软雅黑" w:cs="微软雅黑"/>
          <w:i w:val="0"/>
          <w:caps w:val="0"/>
          <w:color w:val="404040"/>
          <w:spacing w:val="0"/>
          <w:sz w:val="19"/>
          <w:szCs w:val="19"/>
          <w:bdr w:val="none" w:color="auto" w:sz="0" w:space="0"/>
          <w:shd w:val="clear" w:fill="FFFFFF"/>
        </w:rPr>
        <w:t>经营性人力资源服务机构信息表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区人力资源社会保障部门：</w:t>
      </w:r>
      <w:r>
        <w:rPr>
          <w:rFonts w:hint="eastAsia" w:ascii="微软雅黑" w:hAnsi="微软雅黑" w:eastAsia="微软雅黑" w:cs="微软雅黑"/>
          <w:i w:val="0"/>
          <w:caps w:val="0"/>
          <w:color w:val="404040"/>
          <w:spacing w:val="0"/>
          <w:sz w:val="19"/>
          <w:szCs w:val="19"/>
          <w:bdr w:val="none" w:color="auto" w:sz="0" w:space="0"/>
          <w:shd w:val="clear" w:fill="FFFFFF"/>
          <w:lang w:val="en-US" w:eastAsia="zh-CN"/>
        </w:rPr>
        <w:t xml:space="preserve">                        </w:t>
      </w:r>
      <w:r>
        <w:rPr>
          <w:rFonts w:hint="eastAsia" w:ascii="微软雅黑" w:hAnsi="微软雅黑" w:eastAsia="微软雅黑" w:cs="微软雅黑"/>
          <w:i w:val="0"/>
          <w:caps w:val="0"/>
          <w:color w:val="404040"/>
          <w:spacing w:val="0"/>
          <w:sz w:val="19"/>
          <w:szCs w:val="19"/>
          <w:bdr w:val="none" w:color="auto" w:sz="0" w:space="0"/>
          <w:shd w:val="clear" w:fill="FFFFFF"/>
        </w:rPr>
        <w:t>填报时间：</w:t>
      </w:r>
    </w:p>
    <w:tbl>
      <w:tblPr>
        <w:tblW w:w="8700" w:type="dxa"/>
        <w:tblInd w:w="0" w:type="dxa"/>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96"/>
        <w:gridCol w:w="3224"/>
        <w:gridCol w:w="1750"/>
        <w:gridCol w:w="2930"/>
      </w:tblGrid>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9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56" w:lineRule="atLeast"/>
              <w:ind w:left="0" w:right="0" w:firstLine="0"/>
              <w:jc w:val="center"/>
              <w:textAlignment w:val="auto"/>
              <w:outlineLvl w:val="9"/>
              <w:rPr>
                <w:rFonts w:hint="eastAsia" w:ascii="宋体" w:hAnsi="宋体" w:eastAsia="宋体" w:cs="宋体"/>
                <w:sz w:val="24"/>
                <w:szCs w:val="24"/>
              </w:rPr>
            </w:pPr>
            <w:r>
              <w:rPr>
                <w:rFonts w:hint="eastAsia" w:ascii="宋体" w:hAnsi="宋体" w:eastAsia="宋体" w:cs="宋体"/>
                <w:sz w:val="24"/>
                <w:szCs w:val="24"/>
                <w:bdr w:val="none" w:color="auto" w:sz="0" w:space="0"/>
              </w:rPr>
              <w:t>序号</w:t>
            </w:r>
          </w:p>
        </w:tc>
        <w:tc>
          <w:tcPr>
            <w:tcW w:w="3224"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56" w:lineRule="atLeast"/>
              <w:ind w:left="0" w:right="0" w:firstLine="0"/>
              <w:jc w:val="center"/>
              <w:textAlignment w:val="auto"/>
              <w:outlineLvl w:val="9"/>
              <w:rPr>
                <w:rFonts w:hint="eastAsia" w:ascii="宋体" w:hAnsi="宋体" w:eastAsia="宋体" w:cs="宋体"/>
                <w:sz w:val="24"/>
                <w:szCs w:val="24"/>
              </w:rPr>
            </w:pPr>
            <w:r>
              <w:rPr>
                <w:rFonts w:hint="eastAsia" w:ascii="宋体" w:hAnsi="宋体" w:eastAsia="宋体" w:cs="宋体"/>
                <w:sz w:val="24"/>
                <w:szCs w:val="24"/>
                <w:bdr w:val="none" w:color="auto" w:sz="0" w:space="0"/>
              </w:rPr>
              <w:t>机构名称</w:t>
            </w:r>
          </w:p>
        </w:tc>
        <w:tc>
          <w:tcPr>
            <w:tcW w:w="175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56" w:lineRule="atLeast"/>
              <w:ind w:left="0" w:right="0" w:firstLine="0"/>
              <w:jc w:val="center"/>
              <w:textAlignment w:val="auto"/>
              <w:outlineLvl w:val="9"/>
              <w:rPr>
                <w:rFonts w:hint="eastAsia" w:ascii="宋体" w:hAnsi="宋体" w:eastAsia="宋体" w:cs="宋体"/>
                <w:sz w:val="24"/>
                <w:szCs w:val="24"/>
              </w:rPr>
            </w:pPr>
            <w:r>
              <w:rPr>
                <w:rFonts w:hint="eastAsia" w:ascii="宋体" w:hAnsi="宋体" w:eastAsia="宋体" w:cs="宋体"/>
                <w:sz w:val="24"/>
                <w:szCs w:val="24"/>
                <w:bdr w:val="none" w:color="auto" w:sz="0" w:space="0"/>
              </w:rPr>
              <w:t>图标</w:t>
            </w:r>
          </w:p>
        </w:tc>
        <w:tc>
          <w:tcPr>
            <w:tcW w:w="293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56" w:lineRule="atLeast"/>
              <w:ind w:left="0" w:right="0" w:firstLine="0"/>
              <w:jc w:val="center"/>
              <w:textAlignment w:val="auto"/>
              <w:outlineLvl w:val="9"/>
              <w:rPr>
                <w:rFonts w:hint="eastAsia" w:ascii="宋体" w:hAnsi="宋体" w:eastAsia="宋体" w:cs="宋体"/>
                <w:sz w:val="24"/>
                <w:szCs w:val="24"/>
              </w:rPr>
            </w:pPr>
            <w:r>
              <w:rPr>
                <w:rFonts w:hint="eastAsia" w:ascii="宋体" w:hAnsi="宋体" w:eastAsia="宋体" w:cs="宋体"/>
                <w:sz w:val="24"/>
                <w:szCs w:val="24"/>
                <w:bdr w:val="none" w:color="auto" w:sz="0" w:space="0"/>
              </w:rPr>
              <w:t>专区链接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56" w:lineRule="atLeast"/>
              <w:ind w:left="0" w:right="0" w:firstLine="0"/>
              <w:jc w:val="center"/>
              <w:textAlignment w:val="auto"/>
              <w:outlineLvl w:val="9"/>
              <w:rPr>
                <w:rFonts w:hint="eastAsia" w:ascii="宋体" w:hAnsi="宋体" w:eastAsia="宋体" w:cs="宋体"/>
                <w:sz w:val="24"/>
                <w:szCs w:val="24"/>
              </w:rPr>
            </w:pPr>
            <w:r>
              <w:rPr>
                <w:rFonts w:hint="eastAsia" w:ascii="宋体" w:hAnsi="宋体" w:eastAsia="宋体" w:cs="宋体"/>
                <w:sz w:val="24"/>
                <w:szCs w:val="24"/>
                <w:bdr w:val="none" w:color="auto" w:sz="0" w:space="0"/>
              </w:rPr>
              <w:t>（如没有，请提供网站链接）</w:t>
            </w: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9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3224"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175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293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9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3224"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175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293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9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3224"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175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293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9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3224"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175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293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9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3224"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175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293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9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3224"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175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293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9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3224"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175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293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9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3224"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175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293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9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3224"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175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293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9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3224"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175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293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9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3224"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175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293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9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3224"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175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293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9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3224"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175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293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9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3224"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175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c>
          <w:tcPr>
            <w:tcW w:w="293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56" w:lineRule="atLeast"/>
              <w:ind w:left="0" w:right="0" w:firstLine="0"/>
              <w:jc w:val="left"/>
              <w:textAlignment w:val="auto"/>
              <w:outlineLvl w:val="9"/>
              <w:rPr>
                <w:rFonts w:hint="eastAsia" w:ascii="宋体" w:hAnsi="宋体" w:eastAsia="宋体" w:cs="宋体"/>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填报人：</w:t>
      </w:r>
      <w:r>
        <w:rPr>
          <w:rFonts w:hint="eastAsia" w:ascii="微软雅黑" w:hAnsi="微软雅黑" w:eastAsia="微软雅黑" w:cs="微软雅黑"/>
          <w:i w:val="0"/>
          <w:caps w:val="0"/>
          <w:color w:val="404040"/>
          <w:spacing w:val="0"/>
          <w:sz w:val="19"/>
          <w:szCs w:val="19"/>
          <w:bdr w:val="none" w:color="auto" w:sz="0" w:space="0"/>
          <w:shd w:val="clear" w:fill="FFFFFF"/>
          <w:lang w:val="en-US" w:eastAsia="zh-CN"/>
        </w:rPr>
        <w:t xml:space="preserve">                         </w:t>
      </w:r>
      <w:r>
        <w:rPr>
          <w:rFonts w:hint="eastAsia" w:ascii="微软雅黑" w:hAnsi="微软雅黑" w:eastAsia="微软雅黑" w:cs="微软雅黑"/>
          <w:i w:val="0"/>
          <w:caps w:val="0"/>
          <w:color w:val="404040"/>
          <w:spacing w:val="0"/>
          <w:sz w:val="19"/>
          <w:szCs w:val="19"/>
          <w:bdr w:val="none" w:color="auto" w:sz="0" w:space="0"/>
          <w:shd w:val="clear" w:fill="FFFFFF"/>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center"/>
      </w:pPr>
      <w:r>
        <w:rPr>
          <w:rFonts w:hint="eastAsia" w:ascii="微软雅黑" w:hAnsi="微软雅黑" w:eastAsia="微软雅黑" w:cs="微软雅黑"/>
          <w:i w:val="0"/>
          <w:caps w:val="0"/>
          <w:color w:val="404040"/>
          <w:spacing w:val="0"/>
          <w:sz w:val="19"/>
          <w:szCs w:val="19"/>
          <w:bdr w:val="none" w:color="auto" w:sz="0" w:space="0"/>
          <w:shd w:val="clear" w:fill="FFFFFF"/>
        </w:rPr>
        <w:t>活动情况统计表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区人力资源社会保障部门：</w:t>
      </w:r>
      <w:r>
        <w:rPr>
          <w:rFonts w:hint="eastAsia" w:ascii="微软雅黑" w:hAnsi="微软雅黑" w:eastAsia="微软雅黑" w:cs="微软雅黑"/>
          <w:i w:val="0"/>
          <w:caps w:val="0"/>
          <w:color w:val="404040"/>
          <w:spacing w:val="0"/>
          <w:sz w:val="19"/>
          <w:szCs w:val="19"/>
          <w:bdr w:val="none" w:color="auto" w:sz="0" w:space="0"/>
          <w:shd w:val="clear" w:fill="FFFFFF"/>
          <w:lang w:val="en-US" w:eastAsia="zh-CN"/>
        </w:rPr>
        <w:t xml:space="preserve">                              </w:t>
      </w:r>
      <w:r>
        <w:rPr>
          <w:rFonts w:hint="eastAsia" w:ascii="微软雅黑" w:hAnsi="微软雅黑" w:eastAsia="微软雅黑" w:cs="微软雅黑"/>
          <w:i w:val="0"/>
          <w:caps w:val="0"/>
          <w:color w:val="404040"/>
          <w:spacing w:val="0"/>
          <w:sz w:val="19"/>
          <w:szCs w:val="19"/>
          <w:bdr w:val="none" w:color="auto" w:sz="0" w:space="0"/>
          <w:shd w:val="clear" w:fill="FFFFFF"/>
        </w:rPr>
        <w:t>填报时间：</w:t>
      </w:r>
    </w:p>
    <w:tbl>
      <w:tblPr>
        <w:tblW w:w="8700" w:type="dxa"/>
        <w:tblInd w:w="0" w:type="dxa"/>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6"/>
        <w:gridCol w:w="1544"/>
        <w:gridCol w:w="4020"/>
        <w:gridCol w:w="2300"/>
      </w:tblGrid>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20" w:hRule="atLeast"/>
        </w:trPr>
        <w:tc>
          <w:tcPr>
            <w:tcW w:w="83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编号</w:t>
            </w:r>
          </w:p>
        </w:tc>
        <w:tc>
          <w:tcPr>
            <w:tcW w:w="5564" w:type="dxa"/>
            <w:gridSpan w:val="2"/>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填报项目</w:t>
            </w:r>
          </w:p>
        </w:tc>
        <w:tc>
          <w:tcPr>
            <w:tcW w:w="230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填报内容</w:t>
            </w: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83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1</w:t>
            </w:r>
          </w:p>
        </w:tc>
        <w:tc>
          <w:tcPr>
            <w:tcW w:w="5564" w:type="dxa"/>
            <w:gridSpan w:val="2"/>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参加专项行动经营性人力资源服务机构数量</w:t>
            </w:r>
          </w:p>
        </w:tc>
        <w:tc>
          <w:tcPr>
            <w:tcW w:w="230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jc w:val="left"/>
              <w:textAlignment w:val="auto"/>
              <w:outlineLvl w:val="9"/>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836" w:type="dxa"/>
            <w:vMerge w:val="restart"/>
            <w:tcBorders>
              <w:top w:val="single" w:color="404040" w:sz="4" w:space="0"/>
              <w:left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t>2</w:t>
            </w:r>
          </w:p>
        </w:tc>
        <w:tc>
          <w:tcPr>
            <w:tcW w:w="1544" w:type="dxa"/>
            <w:vMerge w:val="restart"/>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网络招聘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活动</w:t>
            </w:r>
          </w:p>
        </w:tc>
        <w:tc>
          <w:tcPr>
            <w:tcW w:w="402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组织专场招聘活动次数</w:t>
            </w:r>
          </w:p>
        </w:tc>
        <w:tc>
          <w:tcPr>
            <w:tcW w:w="230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jc w:val="left"/>
              <w:textAlignment w:val="auto"/>
              <w:outlineLvl w:val="9"/>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836" w:type="dxa"/>
            <w:vMerge w:val="continue"/>
            <w:tcBorders>
              <w:left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p>
        </w:tc>
        <w:tc>
          <w:tcPr>
            <w:tcW w:w="1544" w:type="dxa"/>
            <w:vMerge w:val="continue"/>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textAlignment w:val="auto"/>
              <w:outlineLvl w:val="9"/>
              <w:rPr>
                <w:rFonts w:hint="eastAsia" w:ascii="宋体"/>
                <w:sz w:val="24"/>
                <w:szCs w:val="24"/>
              </w:rPr>
            </w:pPr>
          </w:p>
        </w:tc>
        <w:tc>
          <w:tcPr>
            <w:tcW w:w="402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用人单位数</w:t>
            </w:r>
          </w:p>
        </w:tc>
        <w:tc>
          <w:tcPr>
            <w:tcW w:w="230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jc w:val="left"/>
              <w:textAlignment w:val="auto"/>
              <w:outlineLvl w:val="9"/>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836" w:type="dxa"/>
            <w:vMerge w:val="continue"/>
            <w:tcBorders>
              <w:left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textAlignment w:val="auto"/>
              <w:outlineLvl w:val="9"/>
              <w:rPr>
                <w:rFonts w:hint="eastAsia" w:ascii="宋体"/>
                <w:sz w:val="24"/>
                <w:szCs w:val="24"/>
              </w:rPr>
            </w:pPr>
          </w:p>
        </w:tc>
        <w:tc>
          <w:tcPr>
            <w:tcW w:w="1544" w:type="dxa"/>
            <w:vMerge w:val="continue"/>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textAlignment w:val="auto"/>
              <w:outlineLvl w:val="9"/>
              <w:rPr>
                <w:rFonts w:hint="eastAsia" w:ascii="宋体"/>
                <w:sz w:val="24"/>
                <w:szCs w:val="24"/>
              </w:rPr>
            </w:pPr>
          </w:p>
        </w:tc>
        <w:tc>
          <w:tcPr>
            <w:tcW w:w="402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招聘岗位数</w:t>
            </w:r>
          </w:p>
        </w:tc>
        <w:tc>
          <w:tcPr>
            <w:tcW w:w="230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jc w:val="left"/>
              <w:textAlignment w:val="auto"/>
              <w:outlineLvl w:val="9"/>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836" w:type="dxa"/>
            <w:vMerge w:val="continue"/>
            <w:tcBorders>
              <w:left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textAlignment w:val="auto"/>
              <w:outlineLvl w:val="9"/>
              <w:rPr>
                <w:rFonts w:hint="eastAsia" w:ascii="宋体"/>
                <w:sz w:val="24"/>
                <w:szCs w:val="24"/>
              </w:rPr>
            </w:pPr>
          </w:p>
        </w:tc>
        <w:tc>
          <w:tcPr>
            <w:tcW w:w="1544" w:type="dxa"/>
            <w:vMerge w:val="continue"/>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textAlignment w:val="auto"/>
              <w:outlineLvl w:val="9"/>
              <w:rPr>
                <w:rFonts w:hint="eastAsia" w:ascii="宋体"/>
                <w:sz w:val="24"/>
                <w:szCs w:val="24"/>
              </w:rPr>
            </w:pPr>
          </w:p>
        </w:tc>
        <w:tc>
          <w:tcPr>
            <w:tcW w:w="402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招聘人数</w:t>
            </w:r>
          </w:p>
        </w:tc>
        <w:tc>
          <w:tcPr>
            <w:tcW w:w="230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jc w:val="left"/>
              <w:textAlignment w:val="auto"/>
              <w:outlineLvl w:val="9"/>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836" w:type="dxa"/>
            <w:vMerge w:val="continue"/>
            <w:tcBorders>
              <w:left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textAlignment w:val="auto"/>
              <w:outlineLvl w:val="9"/>
              <w:rPr>
                <w:rFonts w:hint="eastAsia" w:ascii="宋体"/>
                <w:sz w:val="24"/>
                <w:szCs w:val="24"/>
              </w:rPr>
            </w:pPr>
          </w:p>
        </w:tc>
        <w:tc>
          <w:tcPr>
            <w:tcW w:w="1544" w:type="dxa"/>
            <w:vMerge w:val="continue"/>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textAlignment w:val="auto"/>
              <w:outlineLvl w:val="9"/>
              <w:rPr>
                <w:rFonts w:hint="eastAsia" w:ascii="宋体"/>
                <w:sz w:val="24"/>
                <w:szCs w:val="24"/>
              </w:rPr>
            </w:pPr>
          </w:p>
        </w:tc>
        <w:tc>
          <w:tcPr>
            <w:tcW w:w="402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求职者投递简历数</w:t>
            </w:r>
          </w:p>
        </w:tc>
        <w:tc>
          <w:tcPr>
            <w:tcW w:w="230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jc w:val="left"/>
              <w:textAlignment w:val="auto"/>
              <w:outlineLvl w:val="9"/>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836" w:type="dxa"/>
            <w:vMerge w:val="continue"/>
            <w:tcBorders>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jc w:val="left"/>
              <w:textAlignment w:val="auto"/>
              <w:outlineLvl w:val="9"/>
            </w:pPr>
          </w:p>
        </w:tc>
        <w:tc>
          <w:tcPr>
            <w:tcW w:w="1544" w:type="dxa"/>
            <w:vMerge w:val="continue"/>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textAlignment w:val="auto"/>
              <w:outlineLvl w:val="9"/>
              <w:rPr>
                <w:rFonts w:hint="eastAsia" w:ascii="宋体"/>
                <w:sz w:val="24"/>
                <w:szCs w:val="24"/>
              </w:rPr>
            </w:pPr>
          </w:p>
        </w:tc>
        <w:tc>
          <w:tcPr>
            <w:tcW w:w="402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达成意向人数</w:t>
            </w:r>
          </w:p>
        </w:tc>
        <w:tc>
          <w:tcPr>
            <w:tcW w:w="230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jc w:val="left"/>
              <w:textAlignment w:val="auto"/>
              <w:outlineLvl w:val="9"/>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tblLayout w:type="fixed"/>
          <w:tblCellMar>
            <w:top w:w="0" w:type="dxa"/>
            <w:left w:w="0" w:type="dxa"/>
            <w:bottom w:w="0" w:type="dxa"/>
            <w:right w:w="0" w:type="dxa"/>
          </w:tblCellMar>
        </w:tblPrEx>
        <w:trPr>
          <w:trHeight w:val="493" w:hRule="atLeast"/>
        </w:trPr>
        <w:tc>
          <w:tcPr>
            <w:tcW w:w="83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3</w:t>
            </w:r>
          </w:p>
        </w:tc>
        <w:tc>
          <w:tcPr>
            <w:tcW w:w="1544" w:type="dxa"/>
            <w:vMerge w:val="restart"/>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开展其他人力资源服务情况</w:t>
            </w:r>
          </w:p>
        </w:tc>
        <w:tc>
          <w:tcPr>
            <w:tcW w:w="402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服务用人单位数</w:t>
            </w:r>
          </w:p>
        </w:tc>
        <w:tc>
          <w:tcPr>
            <w:tcW w:w="230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jc w:val="left"/>
              <w:textAlignment w:val="auto"/>
              <w:outlineLvl w:val="9"/>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3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4</w:t>
            </w:r>
          </w:p>
        </w:tc>
        <w:tc>
          <w:tcPr>
            <w:tcW w:w="1544" w:type="dxa"/>
            <w:vMerge w:val="continue"/>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textAlignment w:val="auto"/>
              <w:outlineLvl w:val="9"/>
              <w:rPr>
                <w:rFonts w:hint="eastAsia" w:ascii="宋体"/>
                <w:sz w:val="24"/>
                <w:szCs w:val="24"/>
              </w:rPr>
            </w:pPr>
          </w:p>
        </w:tc>
        <w:tc>
          <w:tcPr>
            <w:tcW w:w="402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开展人力资源培训数</w:t>
            </w:r>
          </w:p>
        </w:tc>
        <w:tc>
          <w:tcPr>
            <w:tcW w:w="230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jc w:val="left"/>
              <w:textAlignment w:val="auto"/>
              <w:outlineLvl w:val="9"/>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3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5</w:t>
            </w:r>
          </w:p>
        </w:tc>
        <w:tc>
          <w:tcPr>
            <w:tcW w:w="1544" w:type="dxa"/>
            <w:vMerge w:val="continue"/>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textAlignment w:val="auto"/>
              <w:outlineLvl w:val="9"/>
              <w:rPr>
                <w:rFonts w:hint="eastAsia" w:ascii="宋体"/>
                <w:sz w:val="24"/>
                <w:szCs w:val="24"/>
              </w:rPr>
            </w:pPr>
          </w:p>
        </w:tc>
        <w:tc>
          <w:tcPr>
            <w:tcW w:w="402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开展人力资源测评数</w:t>
            </w:r>
          </w:p>
        </w:tc>
        <w:tc>
          <w:tcPr>
            <w:tcW w:w="230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jc w:val="left"/>
              <w:textAlignment w:val="auto"/>
              <w:outlineLvl w:val="9"/>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3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6</w:t>
            </w:r>
          </w:p>
        </w:tc>
        <w:tc>
          <w:tcPr>
            <w:tcW w:w="1544" w:type="dxa"/>
            <w:vMerge w:val="continue"/>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0"/>
              <w:textAlignment w:val="auto"/>
              <w:outlineLvl w:val="9"/>
              <w:rPr>
                <w:rFonts w:hint="eastAsia" w:ascii="宋体"/>
                <w:sz w:val="24"/>
                <w:szCs w:val="24"/>
              </w:rPr>
            </w:pPr>
          </w:p>
        </w:tc>
        <w:tc>
          <w:tcPr>
            <w:tcW w:w="402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开展其他人力资源服务的项目及数量</w:t>
            </w:r>
          </w:p>
        </w:tc>
        <w:tc>
          <w:tcPr>
            <w:tcW w:w="230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jc w:val="left"/>
              <w:textAlignment w:val="auto"/>
              <w:outlineLvl w:val="9"/>
            </w:pP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3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7</w:t>
            </w:r>
          </w:p>
        </w:tc>
        <w:tc>
          <w:tcPr>
            <w:tcW w:w="1544"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特色专场活动情况</w:t>
            </w:r>
          </w:p>
        </w:tc>
        <w:tc>
          <w:tcPr>
            <w:tcW w:w="402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textAlignment w:val="auto"/>
              <w:outlineLvl w:val="9"/>
            </w:pPr>
            <w:r>
              <w:rPr>
                <w:bdr w:val="none" w:color="auto" w:sz="0" w:space="0"/>
              </w:rPr>
              <w:t>活动时间、主办方、具体内容、活动成效等</w:t>
            </w:r>
          </w:p>
        </w:tc>
        <w:tc>
          <w:tcPr>
            <w:tcW w:w="230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如有，请简要说明</w:t>
            </w: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3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8</w:t>
            </w:r>
          </w:p>
        </w:tc>
        <w:tc>
          <w:tcPr>
            <w:tcW w:w="1544"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人力资源服务典型案例</w:t>
            </w:r>
          </w:p>
        </w:tc>
        <w:tc>
          <w:tcPr>
            <w:tcW w:w="402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textAlignment w:val="auto"/>
              <w:outlineLvl w:val="9"/>
            </w:pPr>
            <w:r>
              <w:rPr>
                <w:bdr w:val="none" w:color="auto" w:sz="0" w:space="0"/>
              </w:rPr>
              <w:t>机构名称、服务用人单位、服务项目、具体成效等</w:t>
            </w:r>
          </w:p>
        </w:tc>
        <w:tc>
          <w:tcPr>
            <w:tcW w:w="230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如有，请简要说明</w:t>
            </w:r>
          </w:p>
        </w:tc>
      </w:tr>
      <w:tr>
        <w:tblPrEx>
          <w:tblBorders>
            <w:top w:val="single" w:color="404040" w:sz="4" w:space="0"/>
            <w:left w:val="single" w:color="404040" w:sz="4" w:space="0"/>
            <w:bottom w:val="single" w:color="404040" w:sz="4" w:space="0"/>
            <w:right w:val="single" w:color="404040" w:sz="4"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36"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9</w:t>
            </w:r>
          </w:p>
        </w:tc>
        <w:tc>
          <w:tcPr>
            <w:tcW w:w="1544"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人力资源市场管理服务情况</w:t>
            </w:r>
          </w:p>
        </w:tc>
        <w:tc>
          <w:tcPr>
            <w:tcW w:w="402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textAlignment w:val="auto"/>
              <w:outlineLvl w:val="9"/>
            </w:pPr>
            <w:r>
              <w:rPr>
                <w:bdr w:val="none" w:color="auto" w:sz="0" w:space="0"/>
              </w:rPr>
              <w:t>优化行政许可、提供便利服务、搭建对接平台、组织各项活动的情况等</w:t>
            </w:r>
          </w:p>
        </w:tc>
        <w:tc>
          <w:tcPr>
            <w:tcW w:w="2300" w:type="dxa"/>
            <w:tcBorders>
              <w:top w:val="single" w:color="404040" w:sz="4" w:space="0"/>
              <w:left w:val="single" w:color="404040" w:sz="4" w:space="0"/>
              <w:bottom w:val="single" w:color="404040" w:sz="4" w:space="0"/>
              <w:right w:val="single" w:color="404040" w:sz="4" w:space="0"/>
            </w:tcBorders>
            <w:shd w:val="clear" w:color="auto" w:fill="FFFFFF"/>
            <w:tcMar>
              <w:left w:w="192" w:type="dxa"/>
              <w:right w:w="192"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center"/>
              <w:textAlignment w:val="auto"/>
              <w:outlineLvl w:val="9"/>
            </w:pPr>
            <w:r>
              <w:rPr>
                <w:bdr w:val="none" w:color="auto" w:sz="0" w:space="0"/>
              </w:rPr>
              <w:t>如有，请简要说明</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Fonts w:hint="eastAsia" w:ascii="微软雅黑" w:hAnsi="微软雅黑" w:eastAsia="微软雅黑" w:cs="微软雅黑"/>
          <w:i w:val="0"/>
          <w:caps w:val="0"/>
          <w:color w:val="404040"/>
          <w:spacing w:val="0"/>
          <w:sz w:val="19"/>
          <w:szCs w:val="19"/>
          <w:bdr w:val="none" w:color="auto" w:sz="0" w:space="0"/>
          <w:shd w:val="clear" w:fill="FFFFFF"/>
        </w:rPr>
        <w:t>填报人：</w:t>
      </w:r>
      <w:r>
        <w:rPr>
          <w:rFonts w:hint="eastAsia" w:ascii="微软雅黑" w:hAnsi="微软雅黑" w:eastAsia="微软雅黑" w:cs="微软雅黑"/>
          <w:i w:val="0"/>
          <w:caps w:val="0"/>
          <w:color w:val="404040"/>
          <w:spacing w:val="0"/>
          <w:sz w:val="19"/>
          <w:szCs w:val="19"/>
          <w:bdr w:val="none" w:color="auto" w:sz="0" w:space="0"/>
          <w:shd w:val="clear" w:fill="FFFFFF"/>
          <w:lang w:val="en-US" w:eastAsia="zh-CN"/>
        </w:rPr>
        <w:t xml:space="preserve">                       </w:t>
      </w:r>
      <w:r>
        <w:rPr>
          <w:rFonts w:hint="eastAsia" w:ascii="微软雅黑" w:hAnsi="微软雅黑" w:eastAsia="微软雅黑" w:cs="微软雅黑"/>
          <w:i w:val="0"/>
          <w:caps w:val="0"/>
          <w:color w:val="404040"/>
          <w:spacing w:val="0"/>
          <w:sz w:val="19"/>
          <w:szCs w:val="19"/>
          <w:bdr w:val="none" w:color="auto" w:sz="0" w:space="0"/>
          <w:shd w:val="clear" w:fill="FFFFFF"/>
        </w:rPr>
        <w:t>联系方式：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E25D5"/>
    <w:rsid w:val="009C5623"/>
    <w:rsid w:val="101E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华文宋体" w:asciiTheme="minorHAnsi" w:hAnsiTheme="minorHAnsi" w:cstheme="minorBidi"/>
      <w:kern w:val="0"/>
      <w:sz w:val="20"/>
      <w:szCs w:val="20"/>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2020-04-14T05:23:00Z</dcterms:created>
  <dc:creator>嘟嘟嘟嘟 </dc:creator>
  <cp:lastModifiedBy>嘟嘟嘟嘟 </cp:lastModifiedBy>
  <dcterms:modified xsi:type="dcterms:W3CDTF">2020-04-14T05:28:51Z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